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0" w:line="240" w:lineRule="auto"/>
        <w:rPr>
          <w:rFonts w:ascii="Times New Roman" w:hAnsi="Times New Roman" w:cs="Times New Roman"/>
          <w:b/>
          <w:bCs/>
          <w:sz w:val="26"/>
          <w:szCs w:val="26"/>
        </w:rPr>
      </w:pPr>
    </w:p>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An analysis of the effects of aging society on global stock markets</w:t>
      </w:r>
    </w:p>
    <w:p>
      <w:pPr>
        <w:spacing w:after="0" w:line="240" w:lineRule="auto"/>
        <w:rPr>
          <w:rFonts w:ascii="Times New Roman" w:hAnsi="Times New Roman" w:cs="Times New Roman"/>
          <w:b/>
          <w:bCs/>
          <w:sz w:val="26"/>
          <w:szCs w:val="26"/>
        </w:rPr>
      </w:pPr>
    </w:p>
    <w:p>
      <w:pPr>
        <w:spacing w:after="0" w:line="240" w:lineRule="auto"/>
        <w:jc w:val="right"/>
        <w:rPr>
          <w:rFonts w:ascii="Times New Roman" w:hAnsi="Times New Roman" w:cs="Times New Roman"/>
          <w:i/>
          <w:iCs/>
          <w:sz w:val="26"/>
          <w:szCs w:val="26"/>
        </w:rPr>
      </w:pPr>
      <w:proofErr w:type="spellStart"/>
      <w:r>
        <w:rPr>
          <w:rFonts w:ascii="Times New Roman" w:hAnsi="Times New Roman" w:cs="Times New Roman"/>
          <w:i/>
          <w:iCs/>
          <w:sz w:val="26"/>
          <w:szCs w:val="26"/>
        </w:rPr>
        <w:t>Kansuda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Pankwaen</w:t>
      </w:r>
      <w:proofErr w:type="spellEnd"/>
      <w:r>
        <w:rPr>
          <w:rFonts w:ascii="Times New Roman" w:hAnsi="Times New Roman" w:cs="Times New Roman"/>
          <w:i/>
          <w:iCs/>
          <w:sz w:val="26"/>
          <w:szCs w:val="26"/>
        </w:rPr>
        <w:t xml:space="preserve"> (Faculty of Economics, Chiang Mai University, Chiang Mai, Thailand)</w:t>
      </w:r>
    </w:p>
    <w:p>
      <w:pPr>
        <w:spacing w:after="0" w:line="240" w:lineRule="auto"/>
        <w:jc w:val="right"/>
        <w:rPr>
          <w:rFonts w:ascii="Times New Roman" w:hAnsi="Times New Roman" w:cs="Times New Roman"/>
          <w:i/>
          <w:iCs/>
          <w:sz w:val="26"/>
          <w:szCs w:val="26"/>
        </w:rPr>
      </w:pPr>
      <w:proofErr w:type="spellStart"/>
      <w:r>
        <w:rPr>
          <w:rFonts w:ascii="Times New Roman" w:hAnsi="Times New Roman" w:cs="Times New Roman"/>
          <w:i/>
          <w:iCs/>
          <w:sz w:val="26"/>
          <w:szCs w:val="26"/>
        </w:rPr>
        <w:t>Woraphon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Yamaka</w:t>
      </w:r>
      <w:proofErr w:type="spellEnd"/>
      <w:r>
        <w:rPr>
          <w:rFonts w:ascii="Times New Roman" w:hAnsi="Times New Roman" w:cs="Times New Roman"/>
          <w:i/>
          <w:iCs/>
          <w:sz w:val="26"/>
          <w:szCs w:val="26"/>
        </w:rPr>
        <w:t xml:space="preserve"> (Faculty of Economics, Chiang Mai University, Chiang Mai, Thailand)</w:t>
      </w:r>
    </w:p>
    <w:p>
      <w:pPr>
        <w:spacing w:after="0" w:line="240" w:lineRule="auto"/>
        <w:jc w:val="right"/>
        <w:rPr>
          <w:rFonts w:ascii="Times New Roman" w:hAnsi="Times New Roman" w:cs="Times New Roman"/>
          <w:i/>
          <w:iCs/>
          <w:sz w:val="26"/>
          <w:szCs w:val="26"/>
        </w:rPr>
      </w:pPr>
      <w:proofErr w:type="spellStart"/>
      <w:r>
        <w:rPr>
          <w:rFonts w:ascii="Times New Roman" w:hAnsi="Times New Roman" w:cs="Times New Roman"/>
          <w:i/>
          <w:iCs/>
          <w:sz w:val="26"/>
          <w:szCs w:val="26"/>
        </w:rPr>
        <w:t>Paravee</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Maneejuk</w:t>
      </w:r>
      <w:proofErr w:type="spellEnd"/>
      <w:r>
        <w:rPr>
          <w:rFonts w:ascii="Times New Roman" w:hAnsi="Times New Roman" w:cs="Times New Roman"/>
          <w:i/>
          <w:iCs/>
          <w:sz w:val="26"/>
          <w:szCs w:val="26"/>
        </w:rPr>
        <w:t xml:space="preserve"> (Faculty of Economics, Chiang Mai University, Chiang Mai, Thailand)</w:t>
      </w:r>
    </w:p>
    <w:p>
      <w:pPr>
        <w:spacing w:after="0" w:line="240" w:lineRule="auto"/>
        <w:rPr>
          <w:rFonts w:ascii="Times New Roman" w:hAnsi="Times New Roman" w:cs="Times New Roman"/>
          <w:b/>
          <w:bCs/>
          <w:sz w:val="26"/>
          <w:szCs w:val="26"/>
        </w:rPr>
      </w:pP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Abstract</w:t>
      </w:r>
    </w:p>
    <w:p>
      <w:pPr>
        <w:jc w:val="both"/>
        <w:rPr>
          <w:rFonts w:ascii="Times New Roman" w:hAnsi="Times New Roman" w:cs="Times New Roman"/>
          <w:sz w:val="26"/>
          <w:szCs w:val="26"/>
        </w:rPr>
      </w:pPr>
      <w:r>
        <w:rPr>
          <w:rFonts w:ascii="Times New Roman" w:hAnsi="Times New Roman" w:cs="Times New Roman"/>
          <w:sz w:val="26"/>
          <w:szCs w:val="26"/>
        </w:rPr>
        <w:t>Purpose</w:t>
      </w:r>
      <w:r>
        <w:rPr>
          <w:rFonts w:ascii="Times New Roman" w:hAnsi="Times New Roman" w:cs="Times New Roman"/>
          <w:sz w:val="26"/>
          <w:szCs w:val="26"/>
        </w:rPr>
        <w:br/>
      </w:r>
      <w:r>
        <w:rPr>
          <w:rFonts w:ascii="Times New Roman" w:hAnsi="Times New Roman" w:cs="Times New Roman"/>
          <w:sz w:val="26"/>
          <w:szCs w:val="26"/>
        </w:rPr>
        <w:t>The primary purpose of this study is to explore the effects of demographic transition toward aging populations on the performance of stock market indices across various economic developments. The research aims to provide valuable insights into the life-cycle hypothesis on savings patterns, investment behavior and the potential reverberations on global financial markets.</w:t>
      </w:r>
    </w:p>
    <w:p>
      <w:pPr>
        <w:jc w:val="both"/>
        <w:rPr>
          <w:rFonts w:ascii="Times New Roman" w:hAnsi="Times New Roman" w:cs="Times New Roman"/>
          <w:sz w:val="26"/>
          <w:szCs w:val="26"/>
        </w:rPr>
      </w:pPr>
      <w:r>
        <w:rPr>
          <w:rFonts w:ascii="Times New Roman" w:hAnsi="Times New Roman" w:cs="Times New Roman"/>
          <w:sz w:val="26"/>
          <w:szCs w:val="26"/>
        </w:rPr>
        <w:t>Design/methodology/approach</w:t>
      </w:r>
      <w:r>
        <w:rPr>
          <w:rFonts w:ascii="Times New Roman" w:hAnsi="Times New Roman" w:cs="Times New Roman"/>
          <w:sz w:val="26"/>
          <w:szCs w:val="26"/>
        </w:rPr>
        <w:br/>
      </w:r>
      <w:r>
        <w:rPr>
          <w:rFonts w:ascii="Times New Roman" w:hAnsi="Times New Roman" w:cs="Times New Roman"/>
          <w:sz w:val="26"/>
          <w:szCs w:val="26"/>
        </w:rPr>
        <w:t>The study adopts a comprehensive global perspective, scrutinizing the effects of aging populations on stock market indices across developed, developing and transitional economies through the panel data analysis. Using annual data spanning the period from 1991 to 2020, encompassing a sample of 10 countries from each economic development level, the study employs the panel autoregressive distributed lag (ARDL) model with fixed effect estimation.</w:t>
      </w:r>
    </w:p>
    <w:p>
      <w:pPr>
        <w:jc w:val="both"/>
        <w:rPr>
          <w:rFonts w:ascii="Times New Roman" w:hAnsi="Times New Roman" w:cs="Times New Roman"/>
          <w:sz w:val="26"/>
          <w:szCs w:val="26"/>
        </w:rPr>
      </w:pPr>
      <w:r>
        <w:rPr>
          <w:rFonts w:ascii="Times New Roman" w:hAnsi="Times New Roman" w:cs="Times New Roman"/>
          <w:sz w:val="26"/>
          <w:szCs w:val="26"/>
        </w:rPr>
        <w:t>Findings</w:t>
      </w:r>
      <w:r>
        <w:rPr>
          <w:rFonts w:ascii="Times New Roman" w:hAnsi="Times New Roman" w:cs="Times New Roman"/>
          <w:sz w:val="26"/>
          <w:szCs w:val="26"/>
        </w:rPr>
        <w:br/>
      </w:r>
      <w:r>
        <w:rPr>
          <w:rFonts w:ascii="Times New Roman" w:hAnsi="Times New Roman" w:cs="Times New Roman"/>
          <w:sz w:val="26"/>
          <w:szCs w:val="26"/>
        </w:rPr>
        <w:t>The findings unveil a statistically significant positive impact of the elderly population proportion on global stock market indices. However, the magnitude and contours of this impact exhibit considerable heterogeneity across different country groups. Specifically, the study finds that while the aging population significantly influences stock market performance in developed nations, its effect is overshadowed by other economic factors, such as consumer price indices and interest rates, in developing countries and economies in transition.</w:t>
      </w:r>
    </w:p>
    <w:p>
      <w:pPr>
        <w:jc w:val="both"/>
        <w:rPr>
          <w:rFonts w:ascii="Times New Roman" w:hAnsi="Times New Roman" w:cs="Times New Roman"/>
          <w:sz w:val="26"/>
          <w:szCs w:val="26"/>
        </w:rPr>
      </w:pPr>
      <w:r>
        <w:rPr>
          <w:rFonts w:ascii="Times New Roman" w:hAnsi="Times New Roman" w:cs="Times New Roman"/>
          <w:sz w:val="26"/>
          <w:szCs w:val="26"/>
        </w:rPr>
        <w:t>Originality/value</w:t>
      </w:r>
      <w:r>
        <w:rPr>
          <w:rFonts w:ascii="Times New Roman" w:hAnsi="Times New Roman" w:cs="Times New Roman"/>
          <w:sz w:val="26"/>
          <w:szCs w:val="26"/>
        </w:rPr>
        <w:br/>
      </w:r>
      <w:r>
        <w:rPr>
          <w:rFonts w:ascii="Times New Roman" w:hAnsi="Times New Roman" w:cs="Times New Roman"/>
          <w:sz w:val="26"/>
          <w:szCs w:val="26"/>
        </w:rPr>
        <w:t xml:space="preserve">The originality and value of this study lie in its comprehensive global perspective, which encompasses a diverse array of economies at varying developmental stages. The research contributes to an understanding of the effects of demographic transitions on stock market performance on a global scale. The insights derived from this study hold significant implications for policymakers, financial institutions and investors seeking to navigate the challenges and opportunities posed by aging societies in an increasingly interconnected global economy. Additionally, the findings highlight the need for specific strategies and </w:t>
      </w:r>
      <w:r>
        <w:rPr>
          <w:rFonts w:ascii="Times New Roman" w:hAnsi="Times New Roman" w:cs="Times New Roman"/>
          <w:sz w:val="26"/>
          <w:szCs w:val="26"/>
        </w:rPr>
        <w:lastRenderedPageBreak/>
        <w:t xml:space="preserve">policies that account for the unique economic characteristics and developmental stages of different </w:t>
      </w:r>
      <w:proofErr w:type="gramStart"/>
      <w:r>
        <w:rPr>
          <w:rFonts w:ascii="Times New Roman" w:hAnsi="Times New Roman" w:cs="Times New Roman"/>
          <w:sz w:val="26"/>
          <w:szCs w:val="26"/>
        </w:rPr>
        <w:t>nations.</w:t>
      </w:r>
      <w:r>
        <w:rPr>
          <w:rFonts w:ascii="Times New Roman" w:hAnsi="Times New Roman" w:cs="Times New Roman"/>
          <w:sz w:val="26"/>
          <w:szCs w:val="26"/>
        </w:rPr>
        <w:t>.</w:t>
      </w:r>
      <w:proofErr w:type="gramEnd"/>
    </w:p>
    <w:p>
      <w:pPr>
        <w:jc w:val="both"/>
        <w:rPr>
          <w:rFonts w:ascii="Times New Roman" w:hAnsi="Times New Roman" w:cs="Times New Roman"/>
          <w:sz w:val="26"/>
          <w:szCs w:val="26"/>
        </w:rPr>
      </w:pPr>
      <w:r>
        <w:rPr>
          <w:rFonts w:ascii="Times New Roman" w:hAnsi="Times New Roman" w:cs="Times New Roman"/>
          <w:b/>
          <w:bCs/>
          <w:sz w:val="26"/>
          <w:szCs w:val="26"/>
        </w:rPr>
        <w:t>Keywords:</w:t>
      </w:r>
      <w:r>
        <w:rPr>
          <w:rFonts w:ascii="Times New Roman" w:hAnsi="Times New Roman" w:cs="Times New Roman"/>
          <w:sz w:val="26"/>
          <w:szCs w:val="26"/>
        </w:rPr>
        <w:t xml:space="preserve"> </w:t>
      </w:r>
      <w:r>
        <w:rPr>
          <w:rFonts w:ascii="Times New Roman" w:hAnsi="Times New Roman" w:cs="Times New Roman"/>
          <w:sz w:val="26"/>
          <w:szCs w:val="26"/>
        </w:rPr>
        <w:t>Cointegration, Autoregressive distributed lag model, Aging population, Stock market</w:t>
      </w:r>
      <w:r>
        <w:rPr>
          <w:rFonts w:ascii="Times New Roman" w:hAnsi="Times New Roman" w:cs="Times New Roman"/>
          <w:sz w:val="26"/>
          <w:szCs w:val="26"/>
        </w:rPr>
        <w:t>.</w:t>
      </w:r>
    </w:p>
    <w:p>
      <w:pPr>
        <w:rPr>
          <w:rFonts w:ascii="Times New Roman" w:hAnsi="Times New Roman" w:cs="Times New Roman"/>
          <w:sz w:val="26"/>
          <w:szCs w:val="26"/>
        </w:rPr>
      </w:pPr>
      <w:r>
        <w:rPr>
          <w:rFonts w:ascii="Times New Roman" w:hAnsi="Times New Roman" w:cs="Times New Roman"/>
          <w:sz w:val="26"/>
          <w:szCs w:val="26"/>
        </w:rPr>
        <w:t>JEL Classification —</w:t>
      </w:r>
      <w:r>
        <w:rPr>
          <w:rFonts w:ascii="Times New Roman" w:hAnsi="Times New Roman" w:cs="Times New Roman"/>
          <w:sz w:val="26"/>
          <w:szCs w:val="26"/>
        </w:rPr>
        <w:t>A10, C01, F30</w:t>
      </w:r>
      <w:r>
        <w:rPr>
          <w:rFonts w:ascii="Times New Roman" w:hAnsi="Times New Roman" w:cs="Times New Roman"/>
          <w:sz w:val="26"/>
          <w:szCs w:val="26"/>
        </w:rPr>
        <w:t>.</w:t>
      </w:r>
    </w:p>
    <w:p>
      <w:pPr>
        <w:rPr>
          <w:rFonts w:ascii="Times New Roman" w:hAnsi="Times New Roman" w:cs="Times New Roman"/>
          <w:sz w:val="26"/>
          <w:szCs w:val="26"/>
        </w:rPr>
      </w:pPr>
    </w:p>
    <w:p>
      <w:pPr>
        <w:rPr>
          <w:rFonts w:ascii="Times New Roman" w:hAnsi="Times New Roman" w:cs="Times New Roman"/>
          <w:b/>
          <w:bCs/>
          <w:sz w:val="26"/>
          <w:szCs w:val="26"/>
        </w:rPr>
      </w:pPr>
      <w:r>
        <w:rPr>
          <w:rFonts w:ascii="Times New Roman" w:hAnsi="Times New Roman" w:cs="Times New Roman"/>
          <w:b/>
          <w:bCs/>
          <w:sz w:val="26"/>
          <w:szCs w:val="26"/>
        </w:rPr>
        <w:t>References</w:t>
      </w:r>
      <w:r>
        <w:rPr>
          <w:rFonts w:ascii="Times New Roman" w:hAnsi="Times New Roman" w:cs="Times New Roman"/>
          <w:b/>
          <w:bCs/>
          <w:sz w:val="26"/>
          <w:szCs w:val="26"/>
        </w:rPr>
        <w:br/>
      </w:r>
      <w:r>
        <w:rPr>
          <w:rFonts w:ascii="Times New Roman" w:hAnsi="Times New Roman" w:cs="Times New Roman"/>
          <w:sz w:val="26"/>
          <w:szCs w:val="26"/>
        </w:rPr>
        <w:t>Andersen, T.M. (2015), “The Danish pension system”, in The Danish Welfare State, Palgrave Macmillan, Cham, pp. 147-170.</w:t>
      </w:r>
    </w:p>
    <w:p>
      <w:pPr>
        <w:rPr>
          <w:rFonts w:ascii="Times New Roman" w:hAnsi="Times New Roman" w:cs="Times New Roman"/>
          <w:sz w:val="26"/>
          <w:szCs w:val="26"/>
        </w:rPr>
      </w:pPr>
      <w:r>
        <w:rPr>
          <w:rFonts w:ascii="Times New Roman" w:hAnsi="Times New Roman" w:cs="Times New Roman"/>
          <w:sz w:val="26"/>
          <w:szCs w:val="26"/>
        </w:rPr>
        <w:t>Ando, A. and Modigliani, F. (1963), “The ‘life cycle’ hypothesis of saving: aggregate implications and tests”, The American Economic Review, Vol. 53 No. 1, pp. 55-84.</w:t>
      </w:r>
    </w:p>
    <w:p>
      <w:pPr>
        <w:rPr>
          <w:rFonts w:ascii="Times New Roman" w:hAnsi="Times New Roman" w:cs="Times New Roman"/>
          <w:sz w:val="26"/>
          <w:szCs w:val="26"/>
        </w:rPr>
      </w:pPr>
      <w:r>
        <w:rPr>
          <w:rFonts w:ascii="Times New Roman" w:hAnsi="Times New Roman" w:cs="Times New Roman"/>
          <w:sz w:val="26"/>
          <w:szCs w:val="26"/>
        </w:rPr>
        <w:t>Bakshi, G.S. and Chen, Z. (1994), “Baby boom, population aging, and capital markets”, Journal of Business, pp. 165-202.</w:t>
      </w:r>
    </w:p>
    <w:p>
      <w:pPr>
        <w:rPr>
          <w:rFonts w:ascii="Times New Roman" w:hAnsi="Times New Roman" w:cs="Times New Roman"/>
          <w:sz w:val="26"/>
          <w:szCs w:val="26"/>
        </w:rPr>
      </w:pPr>
      <w:r>
        <w:rPr>
          <w:rFonts w:ascii="Times New Roman" w:hAnsi="Times New Roman" w:cs="Times New Roman"/>
          <w:sz w:val="26"/>
          <w:szCs w:val="26"/>
        </w:rPr>
        <w:t>Bergantino, S.M. (1998), “Life cycle investment behavior, demographics and asset prices”, Doctoral dissertation, Massachusetts Institute of Technology.</w:t>
      </w:r>
    </w:p>
    <w:p>
      <w:pPr>
        <w:rPr>
          <w:rFonts w:ascii="Times New Roman" w:hAnsi="Times New Roman" w:cs="Times New Roman"/>
          <w:sz w:val="26"/>
          <w:szCs w:val="26"/>
        </w:rPr>
      </w:pPr>
      <w:r>
        <w:rPr>
          <w:rFonts w:ascii="Times New Roman" w:hAnsi="Times New Roman" w:cs="Times New Roman"/>
          <w:sz w:val="26"/>
          <w:szCs w:val="26"/>
        </w:rPr>
        <w:t xml:space="preserve">Bloom, D.E., Canning, D. and Fink, G. (2010), “Implications of population ageing for economic growth”, Oxford Review of Economic Policy, Vol. 26 No. 4, pp. 583-612,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10.1093/</w:t>
      </w:r>
      <w:proofErr w:type="spellStart"/>
      <w:r>
        <w:rPr>
          <w:rFonts w:ascii="Times New Roman" w:hAnsi="Times New Roman" w:cs="Times New Roman"/>
          <w:sz w:val="26"/>
          <w:szCs w:val="26"/>
        </w:rPr>
        <w:t>oxrep</w:t>
      </w:r>
      <w:proofErr w:type="spellEnd"/>
      <w:r>
        <w:rPr>
          <w:rFonts w:ascii="Times New Roman" w:hAnsi="Times New Roman" w:cs="Times New Roman"/>
          <w:sz w:val="26"/>
          <w:szCs w:val="26"/>
        </w:rPr>
        <w:t>/grq038.</w:t>
      </w:r>
    </w:p>
    <w:p>
      <w:pPr>
        <w:rPr>
          <w:rFonts w:ascii="Times New Roman" w:hAnsi="Times New Roman" w:cs="Times New Roman"/>
          <w:sz w:val="26"/>
          <w:szCs w:val="26"/>
        </w:rPr>
      </w:pPr>
      <w:r>
        <w:rPr>
          <w:rFonts w:ascii="Times New Roman" w:hAnsi="Times New Roman" w:cs="Times New Roman"/>
          <w:sz w:val="26"/>
          <w:szCs w:val="26"/>
        </w:rPr>
        <w:t xml:space="preserve">Bloom, D.E., Canning, D. and Lubet, A. (2015), “Global population aging: facts, challenges, solutions and perspectives”, </w:t>
      </w:r>
      <w:proofErr w:type="spellStart"/>
      <w:r>
        <w:rPr>
          <w:rFonts w:ascii="Times New Roman" w:hAnsi="Times New Roman" w:cs="Times New Roman"/>
          <w:sz w:val="26"/>
          <w:szCs w:val="26"/>
        </w:rPr>
        <w:t>Dædalus</w:t>
      </w:r>
      <w:proofErr w:type="spellEnd"/>
      <w:r>
        <w:rPr>
          <w:rFonts w:ascii="Times New Roman" w:hAnsi="Times New Roman" w:cs="Times New Roman"/>
          <w:sz w:val="26"/>
          <w:szCs w:val="26"/>
        </w:rPr>
        <w:t xml:space="preserve">, Vol. 144 No. 2, pp. 80-92,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10.1162/daed_a_00332.</w:t>
      </w:r>
    </w:p>
    <w:p>
      <w:pPr>
        <w:rPr>
          <w:rFonts w:ascii="Times New Roman" w:hAnsi="Times New Roman" w:cs="Times New Roman"/>
          <w:sz w:val="26"/>
          <w:szCs w:val="26"/>
        </w:rPr>
      </w:pPr>
      <w:proofErr w:type="spellStart"/>
      <w:r>
        <w:rPr>
          <w:rFonts w:ascii="Times New Roman" w:hAnsi="Times New Roman" w:cs="Times New Roman"/>
          <w:sz w:val="26"/>
          <w:szCs w:val="26"/>
        </w:rPr>
        <w:t>Boersch</w:t>
      </w:r>
      <w:proofErr w:type="spellEnd"/>
      <w:r>
        <w:rPr>
          <w:rFonts w:ascii="Times New Roman" w:hAnsi="Times New Roman" w:cs="Times New Roman"/>
          <w:sz w:val="26"/>
          <w:szCs w:val="26"/>
        </w:rPr>
        <w:t>-Supan, A.H. and Winter, J.K. (2001), “Population aging, savings behavior and capital markets”, NBER Working Paper.</w:t>
      </w:r>
    </w:p>
    <w:p>
      <w:pPr>
        <w:rPr>
          <w:rFonts w:ascii="Times New Roman" w:hAnsi="Times New Roman" w:cs="Times New Roman"/>
          <w:sz w:val="26"/>
          <w:szCs w:val="26"/>
        </w:rPr>
      </w:pPr>
      <w:proofErr w:type="spellStart"/>
      <w:r>
        <w:rPr>
          <w:rFonts w:ascii="Times New Roman" w:hAnsi="Times New Roman" w:cs="Times New Roman"/>
          <w:sz w:val="26"/>
          <w:szCs w:val="26"/>
        </w:rPr>
        <w:t>Börsch</w:t>
      </w:r>
      <w:proofErr w:type="spellEnd"/>
      <w:r>
        <w:rPr>
          <w:rFonts w:ascii="Times New Roman" w:hAnsi="Times New Roman" w:cs="Times New Roman"/>
          <w:sz w:val="26"/>
          <w:szCs w:val="26"/>
        </w:rPr>
        <w:t xml:space="preserve">‐Supan, A. (2003), “Labor market effects of population aging”, </w:t>
      </w:r>
      <w:proofErr w:type="spellStart"/>
      <w:r>
        <w:rPr>
          <w:rFonts w:ascii="Times New Roman" w:hAnsi="Times New Roman" w:cs="Times New Roman"/>
          <w:sz w:val="26"/>
          <w:szCs w:val="26"/>
        </w:rPr>
        <w:t>Labour</w:t>
      </w:r>
      <w:proofErr w:type="spellEnd"/>
      <w:r>
        <w:rPr>
          <w:rFonts w:ascii="Times New Roman" w:hAnsi="Times New Roman" w:cs="Times New Roman"/>
          <w:sz w:val="26"/>
          <w:szCs w:val="26"/>
        </w:rPr>
        <w:t>, Vol. 17, pp. 5-44.</w:t>
      </w:r>
    </w:p>
    <w:p>
      <w:pPr>
        <w:rPr>
          <w:rFonts w:ascii="Times New Roman" w:hAnsi="Times New Roman" w:cs="Times New Roman"/>
          <w:sz w:val="26"/>
          <w:szCs w:val="26"/>
        </w:rPr>
      </w:pPr>
      <w:proofErr w:type="spellStart"/>
      <w:r>
        <w:rPr>
          <w:rFonts w:ascii="Times New Roman" w:hAnsi="Times New Roman" w:cs="Times New Roman"/>
          <w:sz w:val="26"/>
          <w:szCs w:val="26"/>
        </w:rPr>
        <w:t>Börsch</w:t>
      </w:r>
      <w:proofErr w:type="spellEnd"/>
      <w:r>
        <w:rPr>
          <w:rFonts w:ascii="Times New Roman" w:hAnsi="Times New Roman" w:cs="Times New Roman"/>
          <w:sz w:val="26"/>
          <w:szCs w:val="26"/>
        </w:rPr>
        <w:t xml:space="preserve">-Supan, A. and Ludwig, A. (2009), “Aging, asset markets, and asset returns: a view from Europe to Asia”, Japan Center for Economic Research, Vol. 4 No. 1, pp. 69-92,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10.1111/j.1748-3131.2009.</w:t>
      </w:r>
      <w:proofErr w:type="gramStart"/>
      <w:r>
        <w:rPr>
          <w:rFonts w:ascii="Times New Roman" w:hAnsi="Times New Roman" w:cs="Times New Roman"/>
          <w:sz w:val="26"/>
          <w:szCs w:val="26"/>
        </w:rPr>
        <w:t>01109.x.</w:t>
      </w:r>
      <w:proofErr w:type="gramEnd"/>
    </w:p>
    <w:p>
      <w:pPr>
        <w:rPr>
          <w:rFonts w:ascii="Times New Roman" w:hAnsi="Times New Roman" w:cs="Times New Roman"/>
          <w:sz w:val="26"/>
          <w:szCs w:val="26"/>
        </w:rPr>
      </w:pPr>
      <w:r>
        <w:rPr>
          <w:rFonts w:ascii="Times New Roman" w:hAnsi="Times New Roman" w:cs="Times New Roman"/>
          <w:sz w:val="26"/>
          <w:szCs w:val="26"/>
        </w:rPr>
        <w:t>Bosworth, B.P., Bryant, R.C. and Burtless, G. (2004), The Impact of Aging on Financial Markets and the Economy: A Survey, The Center for Retirement Research, Chestnut Hill, MA.</w:t>
      </w:r>
    </w:p>
    <w:p>
      <w:pPr>
        <w:rPr>
          <w:rFonts w:ascii="Times New Roman" w:hAnsi="Times New Roman" w:cs="Times New Roman"/>
          <w:sz w:val="26"/>
          <w:szCs w:val="26"/>
        </w:rPr>
      </w:pPr>
      <w:r>
        <w:rPr>
          <w:rFonts w:ascii="Times New Roman" w:hAnsi="Times New Roman" w:cs="Times New Roman"/>
          <w:sz w:val="26"/>
          <w:szCs w:val="26"/>
        </w:rPr>
        <w:t xml:space="preserve">Buchmann, M., </w:t>
      </w:r>
      <w:proofErr w:type="spellStart"/>
      <w:r>
        <w:rPr>
          <w:rFonts w:ascii="Times New Roman" w:hAnsi="Times New Roman" w:cs="Times New Roman"/>
          <w:sz w:val="26"/>
          <w:szCs w:val="26"/>
        </w:rPr>
        <w:t>Budliger</w:t>
      </w:r>
      <w:proofErr w:type="spellEnd"/>
      <w:r>
        <w:rPr>
          <w:rFonts w:ascii="Times New Roman" w:hAnsi="Times New Roman" w:cs="Times New Roman"/>
          <w:sz w:val="26"/>
          <w:szCs w:val="26"/>
        </w:rPr>
        <w:t xml:space="preserve">, H., </w:t>
      </w:r>
      <w:proofErr w:type="spellStart"/>
      <w:r>
        <w:rPr>
          <w:rFonts w:ascii="Times New Roman" w:hAnsi="Times New Roman" w:cs="Times New Roman"/>
          <w:sz w:val="26"/>
          <w:szCs w:val="26"/>
        </w:rPr>
        <w:t>Dahinden</w:t>
      </w:r>
      <w:proofErr w:type="spellEnd"/>
      <w:r>
        <w:rPr>
          <w:rFonts w:ascii="Times New Roman" w:hAnsi="Times New Roman" w:cs="Times New Roman"/>
          <w:sz w:val="26"/>
          <w:szCs w:val="26"/>
        </w:rPr>
        <w:t xml:space="preserve">, M., Francioni, R., </w:t>
      </w:r>
      <w:proofErr w:type="spellStart"/>
      <w:r>
        <w:rPr>
          <w:rFonts w:ascii="Times New Roman" w:hAnsi="Times New Roman" w:cs="Times New Roman"/>
          <w:sz w:val="26"/>
          <w:szCs w:val="26"/>
        </w:rPr>
        <w:t>Groth</w:t>
      </w:r>
      <w:proofErr w:type="spellEnd"/>
      <w:r>
        <w:rPr>
          <w:rFonts w:ascii="Times New Roman" w:hAnsi="Times New Roman" w:cs="Times New Roman"/>
          <w:sz w:val="26"/>
          <w:szCs w:val="26"/>
        </w:rPr>
        <w:t xml:space="preserve">, H., Lenz, C. and Zimmermann, H. (2023), “Financial demography: how population aging affects financial </w:t>
      </w:r>
      <w:r>
        <w:rPr>
          <w:rFonts w:ascii="Times New Roman" w:hAnsi="Times New Roman" w:cs="Times New Roman"/>
          <w:sz w:val="26"/>
          <w:szCs w:val="26"/>
        </w:rPr>
        <w:lastRenderedPageBreak/>
        <w:t>markets”, Handbook of Aging, Health and Public Policy: Perspectives from Asia, pp. 1-22.</w:t>
      </w:r>
    </w:p>
    <w:p>
      <w:pPr>
        <w:rPr>
          <w:rFonts w:ascii="Times New Roman" w:hAnsi="Times New Roman" w:cs="Times New Roman"/>
          <w:sz w:val="26"/>
          <w:szCs w:val="26"/>
        </w:rPr>
      </w:pPr>
      <w:r>
        <w:rPr>
          <w:rFonts w:ascii="Times New Roman" w:hAnsi="Times New Roman" w:cs="Times New Roman"/>
          <w:sz w:val="26"/>
          <w:szCs w:val="26"/>
        </w:rPr>
        <w:t>Cheng, M.C. and Lee, C.C. (2022), “The impact of demographic aging on the investing behavior: the case of Taiwan stock market”, Review of Pacific Basin Financial Markets and Policies, Vol. 25 No. 4, 2250026.</w:t>
      </w:r>
    </w:p>
    <w:p>
      <w:pPr>
        <w:rPr>
          <w:rFonts w:ascii="Times New Roman" w:hAnsi="Times New Roman" w:cs="Times New Roman"/>
          <w:sz w:val="26"/>
          <w:szCs w:val="26"/>
        </w:rPr>
      </w:pPr>
      <w:proofErr w:type="spellStart"/>
      <w:r>
        <w:rPr>
          <w:rFonts w:ascii="Times New Roman" w:hAnsi="Times New Roman" w:cs="Times New Roman"/>
          <w:sz w:val="26"/>
          <w:szCs w:val="26"/>
        </w:rPr>
        <w:t>Cizkowicz</w:t>
      </w:r>
      <w:proofErr w:type="spellEnd"/>
      <w:r>
        <w:rPr>
          <w:rFonts w:ascii="Times New Roman" w:hAnsi="Times New Roman" w:cs="Times New Roman"/>
          <w:sz w:val="26"/>
          <w:szCs w:val="26"/>
        </w:rPr>
        <w:t xml:space="preserve">, P., </w:t>
      </w:r>
      <w:proofErr w:type="spellStart"/>
      <w:r>
        <w:rPr>
          <w:rFonts w:ascii="Times New Roman" w:hAnsi="Times New Roman" w:cs="Times New Roman"/>
          <w:sz w:val="26"/>
          <w:szCs w:val="26"/>
        </w:rPr>
        <w:t>Cizkowicz</w:t>
      </w:r>
      <w:proofErr w:type="spellEnd"/>
      <w:r>
        <w:rPr>
          <w:rFonts w:ascii="Times New Roman" w:hAnsi="Times New Roman" w:cs="Times New Roman"/>
          <w:sz w:val="26"/>
          <w:szCs w:val="26"/>
        </w:rPr>
        <w:t>-Pekala, M., Pekala, P. and Rzonca, A. (2015), “The effects of polish special economic zones on employment and investment: spatial panel modelling perspective”.</w:t>
      </w:r>
    </w:p>
    <w:p>
      <w:pPr>
        <w:rPr>
          <w:rFonts w:ascii="Times New Roman" w:hAnsi="Times New Roman" w:cs="Times New Roman"/>
          <w:sz w:val="26"/>
          <w:szCs w:val="26"/>
        </w:rPr>
      </w:pPr>
      <w:r>
        <w:rPr>
          <w:rFonts w:ascii="Times New Roman" w:hAnsi="Times New Roman" w:cs="Times New Roman"/>
          <w:sz w:val="26"/>
          <w:szCs w:val="26"/>
        </w:rPr>
        <w:t xml:space="preserve">Cocco, J.F., Gomes, F.J. and Maenhout, P.J. (2005), “Consumption and portfolio choice over the life cycle”, Review of Financial Studies, Vol. 18 No. 2, pp. 491-533,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10.1093/</w:t>
      </w:r>
      <w:proofErr w:type="spellStart"/>
      <w:r>
        <w:rPr>
          <w:rFonts w:ascii="Times New Roman" w:hAnsi="Times New Roman" w:cs="Times New Roman"/>
          <w:sz w:val="26"/>
          <w:szCs w:val="26"/>
        </w:rPr>
        <w:t>rfs</w:t>
      </w:r>
      <w:proofErr w:type="spellEnd"/>
      <w:r>
        <w:rPr>
          <w:rFonts w:ascii="Times New Roman" w:hAnsi="Times New Roman" w:cs="Times New Roman"/>
          <w:sz w:val="26"/>
          <w:szCs w:val="26"/>
        </w:rPr>
        <w:t>/hhi017.</w:t>
      </w:r>
    </w:p>
    <w:p>
      <w:pPr>
        <w:rPr>
          <w:rFonts w:ascii="Times New Roman" w:hAnsi="Times New Roman" w:cs="Times New Roman"/>
          <w:sz w:val="26"/>
          <w:szCs w:val="26"/>
        </w:rPr>
      </w:pPr>
      <w:proofErr w:type="spellStart"/>
      <w:r>
        <w:rPr>
          <w:rFonts w:ascii="Times New Roman" w:hAnsi="Times New Roman" w:cs="Times New Roman"/>
          <w:sz w:val="26"/>
          <w:szCs w:val="26"/>
        </w:rPr>
        <w:t>Coulmas</w:t>
      </w:r>
      <w:proofErr w:type="spellEnd"/>
      <w:r>
        <w:rPr>
          <w:rFonts w:ascii="Times New Roman" w:hAnsi="Times New Roman" w:cs="Times New Roman"/>
          <w:sz w:val="26"/>
          <w:szCs w:val="26"/>
        </w:rPr>
        <w:t>, F. (2007), “Population decline and ageing in Japan: the social consequences”.</w:t>
      </w:r>
    </w:p>
    <w:p>
      <w:pPr>
        <w:rPr>
          <w:rFonts w:ascii="Times New Roman" w:hAnsi="Times New Roman" w:cs="Times New Roman"/>
          <w:sz w:val="26"/>
          <w:szCs w:val="26"/>
        </w:rPr>
      </w:pPr>
      <w:r>
        <w:rPr>
          <w:rFonts w:ascii="Times New Roman" w:hAnsi="Times New Roman" w:cs="Times New Roman"/>
          <w:sz w:val="26"/>
          <w:szCs w:val="26"/>
        </w:rPr>
        <w:t xml:space="preserve">Gomes, F. and Michaelides, A. (2005), “Optimal life-cycle asset allocation: understanding the empirical evidence”, The Journal of Finance, Vol. 60 No. 2, pp. 869-904,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10.1111/j.1540-6261.2005.</w:t>
      </w:r>
      <w:proofErr w:type="gramStart"/>
      <w:r>
        <w:rPr>
          <w:rFonts w:ascii="Times New Roman" w:hAnsi="Times New Roman" w:cs="Times New Roman"/>
          <w:sz w:val="26"/>
          <w:szCs w:val="26"/>
        </w:rPr>
        <w:t>00749.x.</w:t>
      </w:r>
      <w:proofErr w:type="gramEnd"/>
    </w:p>
    <w:p>
      <w:pPr>
        <w:rPr>
          <w:rFonts w:ascii="Times New Roman" w:hAnsi="Times New Roman" w:cs="Times New Roman"/>
          <w:sz w:val="26"/>
          <w:szCs w:val="26"/>
        </w:rPr>
      </w:pPr>
      <w:r>
        <w:rPr>
          <w:rFonts w:ascii="Times New Roman" w:hAnsi="Times New Roman" w:cs="Times New Roman"/>
          <w:sz w:val="26"/>
          <w:szCs w:val="26"/>
        </w:rPr>
        <w:t xml:space="preserve">Goyal, A. (2004), “Demographics, stock market flows, and stock returns”, Journal of Financial and Quantitative Analysis, Vol. 39 No. 1, pp. 115-142,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10.1017/s0022109000003914.</w:t>
      </w:r>
    </w:p>
    <w:p>
      <w:pPr>
        <w:rPr>
          <w:rFonts w:ascii="Times New Roman" w:hAnsi="Times New Roman" w:cs="Times New Roman"/>
          <w:sz w:val="26"/>
          <w:szCs w:val="26"/>
        </w:rPr>
      </w:pPr>
      <w:r>
        <w:rPr>
          <w:rFonts w:ascii="Times New Roman" w:hAnsi="Times New Roman" w:cs="Times New Roman"/>
          <w:sz w:val="26"/>
          <w:szCs w:val="26"/>
        </w:rPr>
        <w:t>Harper, S. (2014), Science, Vol. 346 No. 6209, pp. 587-591.</w:t>
      </w:r>
    </w:p>
    <w:p>
      <w:pPr>
        <w:rPr>
          <w:rFonts w:ascii="Times New Roman" w:hAnsi="Times New Roman" w:cs="Times New Roman"/>
          <w:sz w:val="26"/>
          <w:szCs w:val="26"/>
        </w:rPr>
      </w:pPr>
      <w:r>
        <w:rPr>
          <w:rFonts w:ascii="Times New Roman" w:hAnsi="Times New Roman" w:cs="Times New Roman"/>
          <w:sz w:val="26"/>
          <w:szCs w:val="26"/>
        </w:rPr>
        <w:t>He, W., Goodkind, D. and Kowal, P. (2016), “An aging world: 2015”, U.S. Census Bureau, International Population Reports, pp. P95(16-1).</w:t>
      </w:r>
    </w:p>
    <w:p>
      <w:pPr>
        <w:rPr>
          <w:rFonts w:ascii="Times New Roman" w:hAnsi="Times New Roman" w:cs="Times New Roman"/>
          <w:sz w:val="26"/>
          <w:szCs w:val="26"/>
        </w:rPr>
      </w:pPr>
      <w:proofErr w:type="spellStart"/>
      <w:r>
        <w:rPr>
          <w:rFonts w:ascii="Times New Roman" w:hAnsi="Times New Roman" w:cs="Times New Roman"/>
          <w:sz w:val="26"/>
          <w:szCs w:val="26"/>
        </w:rPr>
        <w:t>Hettihewa</w:t>
      </w:r>
      <w:proofErr w:type="spellEnd"/>
      <w:r>
        <w:rPr>
          <w:rFonts w:ascii="Times New Roman" w:hAnsi="Times New Roman" w:cs="Times New Roman"/>
          <w:sz w:val="26"/>
          <w:szCs w:val="26"/>
        </w:rPr>
        <w:t xml:space="preserve">, S., Saha, S. and Zhang, H. (2018), “Does an aging population influence stock </w:t>
      </w:r>
      <w:proofErr w:type="gramStart"/>
      <w:r>
        <w:rPr>
          <w:rFonts w:ascii="Times New Roman" w:hAnsi="Times New Roman" w:cs="Times New Roman"/>
          <w:sz w:val="26"/>
          <w:szCs w:val="26"/>
        </w:rPr>
        <w:t>markets</w:t>
      </w:r>
      <w:proofErr w:type="gramEnd"/>
      <w:r>
        <w:rPr>
          <w:rFonts w:ascii="Times New Roman" w:hAnsi="Times New Roman" w:cs="Times New Roman"/>
          <w:sz w:val="26"/>
          <w:szCs w:val="26"/>
        </w:rPr>
        <w:t xml:space="preserve">? Evidence from New Zealand”, Economic Modelling, Vol. 75, pp. 142-158,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10.1016/j.econmod.2018.06.017.</w:t>
      </w:r>
    </w:p>
    <w:p>
      <w:pPr>
        <w:rPr>
          <w:rFonts w:ascii="Times New Roman" w:hAnsi="Times New Roman" w:cs="Times New Roman"/>
          <w:sz w:val="26"/>
          <w:szCs w:val="26"/>
        </w:rPr>
      </w:pPr>
      <w:r>
        <w:rPr>
          <w:rFonts w:ascii="Times New Roman" w:hAnsi="Times New Roman" w:cs="Times New Roman"/>
          <w:sz w:val="26"/>
          <w:szCs w:val="26"/>
        </w:rPr>
        <w:t xml:space="preserve">Horneff, V., Maurer, R., Mitchell, O.S. and Rogalla, R. (2015), “Optimal life cycle portfolio choice with variable annuities offering liquidity and investment downside protection”, Insurance: Mathematics and Economics, Vol. 63, pp. 91-107,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10.1016/j.insmatheco.2015.03.031.</w:t>
      </w:r>
    </w:p>
    <w:p>
      <w:pPr>
        <w:rPr>
          <w:rFonts w:ascii="Times New Roman" w:hAnsi="Times New Roman" w:cs="Times New Roman"/>
          <w:sz w:val="26"/>
          <w:szCs w:val="26"/>
        </w:rPr>
      </w:pPr>
      <w:proofErr w:type="spellStart"/>
      <w:r>
        <w:rPr>
          <w:rFonts w:ascii="Times New Roman" w:hAnsi="Times New Roman" w:cs="Times New Roman"/>
          <w:sz w:val="26"/>
          <w:szCs w:val="26"/>
        </w:rPr>
        <w:t>Im</w:t>
      </w:r>
      <w:proofErr w:type="spellEnd"/>
      <w:r>
        <w:rPr>
          <w:rFonts w:ascii="Times New Roman" w:hAnsi="Times New Roman" w:cs="Times New Roman"/>
          <w:sz w:val="26"/>
          <w:szCs w:val="26"/>
        </w:rPr>
        <w:t xml:space="preserve">, K. S., Lee, J. and </w:t>
      </w:r>
      <w:proofErr w:type="spellStart"/>
      <w:r>
        <w:rPr>
          <w:rFonts w:ascii="Times New Roman" w:hAnsi="Times New Roman" w:cs="Times New Roman"/>
          <w:sz w:val="26"/>
          <w:szCs w:val="26"/>
        </w:rPr>
        <w:t>Tieslau</w:t>
      </w:r>
      <w:proofErr w:type="spellEnd"/>
      <w:r>
        <w:rPr>
          <w:rFonts w:ascii="Times New Roman" w:hAnsi="Times New Roman" w:cs="Times New Roman"/>
          <w:sz w:val="26"/>
          <w:szCs w:val="26"/>
        </w:rPr>
        <w:t>, M. (2005), “Panel LM unit‐root tests with level shifts”, Oxford Bulletin of Economics and Statistics, Vol. 67 No. 3, pp. 393-419.</w:t>
      </w:r>
    </w:p>
    <w:p>
      <w:pPr>
        <w:rPr>
          <w:rFonts w:ascii="Times New Roman" w:hAnsi="Times New Roman" w:cs="Times New Roman"/>
          <w:sz w:val="26"/>
          <w:szCs w:val="26"/>
        </w:rPr>
      </w:pPr>
      <w:r>
        <w:rPr>
          <w:rFonts w:ascii="Times New Roman" w:hAnsi="Times New Roman" w:cs="Times New Roman"/>
          <w:sz w:val="26"/>
          <w:szCs w:val="26"/>
        </w:rPr>
        <w:t>Levin, A., Lin, C.F. and Chu, C.S.J. (2002), “Unit root tests in panel data: asymptotic and finite-sample properties”, Journal of Econometrics, Vol. 108 No. 1, pp. 1-24.</w:t>
      </w: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lastRenderedPageBreak/>
        <w:t>Lusardi, A. and Mitchell, O.S. (2011), “Financial literacy around the world: an overview”, Journal of Pension Economics and Finance, Vol. 10 No. 4, pp. 497-508.</w:t>
      </w:r>
    </w:p>
    <w:p>
      <w:pPr>
        <w:rPr>
          <w:rFonts w:ascii="Times New Roman" w:hAnsi="Times New Roman" w:cs="Times New Roman"/>
          <w:sz w:val="26"/>
          <w:szCs w:val="26"/>
        </w:rPr>
      </w:pPr>
      <w:r>
        <w:rPr>
          <w:rFonts w:ascii="Times New Roman" w:hAnsi="Times New Roman" w:cs="Times New Roman"/>
          <w:sz w:val="26"/>
          <w:szCs w:val="26"/>
        </w:rPr>
        <w:t>Maddala, G.S. and Wu, S. (1999), “A comparative study of unit root tests with panel data and a new simple test”, Oxford Bulletin of Economics and Statistics, Vol. 61 No. S1, pp. 631-652.</w:t>
      </w:r>
    </w:p>
    <w:p>
      <w:pPr>
        <w:rPr>
          <w:rFonts w:ascii="Times New Roman" w:hAnsi="Times New Roman" w:cs="Times New Roman"/>
          <w:sz w:val="26"/>
          <w:szCs w:val="26"/>
        </w:rPr>
      </w:pPr>
      <w:proofErr w:type="spellStart"/>
      <w:r>
        <w:rPr>
          <w:rFonts w:ascii="Times New Roman" w:hAnsi="Times New Roman" w:cs="Times New Roman"/>
          <w:sz w:val="26"/>
          <w:szCs w:val="26"/>
        </w:rPr>
        <w:t>Miloş</w:t>
      </w:r>
      <w:proofErr w:type="spellEnd"/>
      <w:r>
        <w:rPr>
          <w:rFonts w:ascii="Times New Roman" w:hAnsi="Times New Roman" w:cs="Times New Roman"/>
          <w:sz w:val="26"/>
          <w:szCs w:val="26"/>
        </w:rPr>
        <w:t>, L.R. and Corduneanu, C. (2011), “Diversity of the pension systems in the European union countries”, Scientific Annals of the Alexandru Ioan Cuza University of Iasi, Economic sciences section, Vol. 58, pp. 145-155.</w:t>
      </w:r>
    </w:p>
    <w:p>
      <w:pPr>
        <w:rPr>
          <w:rFonts w:ascii="Times New Roman" w:hAnsi="Times New Roman" w:cs="Times New Roman"/>
          <w:sz w:val="26"/>
          <w:szCs w:val="26"/>
        </w:rPr>
      </w:pPr>
      <w:r>
        <w:rPr>
          <w:rFonts w:ascii="Times New Roman" w:hAnsi="Times New Roman" w:cs="Times New Roman"/>
          <w:sz w:val="26"/>
          <w:szCs w:val="26"/>
        </w:rPr>
        <w:t>Modigliani, F. and Brumberg, R.E. (1954), “Utility analysis and the consumption function: an interpretation of cross-section data”, in Kurihara, K.K. (Ed.), Post-Keynesian Economics, Rutgers University Press, New Brunswick, pp. 388-436.</w:t>
      </w:r>
    </w:p>
    <w:p>
      <w:pPr>
        <w:rPr>
          <w:rFonts w:ascii="Times New Roman" w:hAnsi="Times New Roman" w:cs="Times New Roman"/>
          <w:sz w:val="26"/>
          <w:szCs w:val="26"/>
        </w:rPr>
      </w:pPr>
      <w:r>
        <w:rPr>
          <w:rFonts w:ascii="Times New Roman" w:hAnsi="Times New Roman" w:cs="Times New Roman"/>
          <w:sz w:val="26"/>
          <w:szCs w:val="26"/>
        </w:rPr>
        <w:t xml:space="preserve">Ogawa, N., </w:t>
      </w:r>
      <w:proofErr w:type="spellStart"/>
      <w:r>
        <w:rPr>
          <w:rFonts w:ascii="Times New Roman" w:hAnsi="Times New Roman" w:cs="Times New Roman"/>
          <w:sz w:val="26"/>
          <w:szCs w:val="26"/>
        </w:rPr>
        <w:t>Matsukura</w:t>
      </w:r>
      <w:proofErr w:type="spellEnd"/>
      <w:r>
        <w:rPr>
          <w:rFonts w:ascii="Times New Roman" w:hAnsi="Times New Roman" w:cs="Times New Roman"/>
          <w:sz w:val="26"/>
          <w:szCs w:val="26"/>
        </w:rPr>
        <w:t>, R. and Maliki (2009), “Rapid population aging and changing intergenerational transfers in Japan”, International Handbook of Population Aging, Springer Netherlands, Dordrecht, pp. 133-156.</w:t>
      </w:r>
    </w:p>
    <w:p>
      <w:pPr>
        <w:rPr>
          <w:rFonts w:ascii="Times New Roman" w:hAnsi="Times New Roman" w:cs="Times New Roman"/>
          <w:sz w:val="26"/>
          <w:szCs w:val="26"/>
        </w:rPr>
      </w:pPr>
      <w:r>
        <w:rPr>
          <w:rFonts w:ascii="Times New Roman" w:hAnsi="Times New Roman" w:cs="Times New Roman"/>
          <w:sz w:val="26"/>
          <w:szCs w:val="26"/>
        </w:rPr>
        <w:t>Park, D. and Rhee, C. (2007), “Population aging and financial markets: a cross-country study”, Seoul Journal of Economics, Vol. 20 No. 3, pp. 333-354.</w:t>
      </w:r>
    </w:p>
    <w:p>
      <w:pPr>
        <w:rPr>
          <w:rFonts w:ascii="Times New Roman" w:hAnsi="Times New Roman" w:cs="Times New Roman"/>
          <w:sz w:val="26"/>
          <w:szCs w:val="26"/>
        </w:rPr>
      </w:pPr>
      <w:r>
        <w:rPr>
          <w:rFonts w:ascii="Times New Roman" w:hAnsi="Times New Roman" w:cs="Times New Roman"/>
          <w:sz w:val="26"/>
          <w:szCs w:val="26"/>
        </w:rPr>
        <w:t>Park, D. and Shin, K. (2012), “Impact of population aging on Asia’s future growth”, Aging, Economic Growth, and Old-Age Security in Asia, Edward Elgar Publishing, pp. 83-110.</w:t>
      </w:r>
    </w:p>
    <w:p>
      <w:pPr>
        <w:rPr>
          <w:rFonts w:ascii="Times New Roman" w:hAnsi="Times New Roman" w:cs="Times New Roman"/>
          <w:sz w:val="26"/>
          <w:szCs w:val="26"/>
        </w:rPr>
      </w:pPr>
      <w:proofErr w:type="spellStart"/>
      <w:r>
        <w:rPr>
          <w:rFonts w:ascii="Times New Roman" w:hAnsi="Times New Roman" w:cs="Times New Roman"/>
          <w:sz w:val="26"/>
          <w:szCs w:val="26"/>
        </w:rPr>
        <w:t>Pesaran</w:t>
      </w:r>
      <w:proofErr w:type="spellEnd"/>
      <w:r>
        <w:rPr>
          <w:rFonts w:ascii="Times New Roman" w:hAnsi="Times New Roman" w:cs="Times New Roman"/>
          <w:sz w:val="26"/>
          <w:szCs w:val="26"/>
        </w:rPr>
        <w:t xml:space="preserve">, M., Shin, Y. and Smith, R.J. (2001), “Bounds testing approaches to the analysis of level relationships”, Journal of Applied Econometrics, Vol. 16 No. 3, pp. 289-326,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10.1002/jae.616.</w:t>
      </w:r>
    </w:p>
    <w:p>
      <w:pPr>
        <w:rPr>
          <w:rFonts w:ascii="Times New Roman" w:hAnsi="Times New Roman" w:cs="Times New Roman"/>
          <w:sz w:val="26"/>
          <w:szCs w:val="26"/>
        </w:rPr>
      </w:pPr>
      <w:r>
        <w:rPr>
          <w:rFonts w:ascii="Times New Roman" w:hAnsi="Times New Roman" w:cs="Times New Roman"/>
          <w:sz w:val="26"/>
          <w:szCs w:val="26"/>
        </w:rPr>
        <w:t xml:space="preserve">Poterba, J.M. (2001), “Demographic structure and asset returns”, The Review of Economics and Statistics, Vol. 83 No. 4, pp. 565-584,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10.1162/003465301753237650.</w:t>
      </w:r>
    </w:p>
    <w:p>
      <w:pPr>
        <w:rPr>
          <w:rFonts w:ascii="Times New Roman" w:hAnsi="Times New Roman" w:cs="Times New Roman"/>
          <w:sz w:val="26"/>
          <w:szCs w:val="26"/>
        </w:rPr>
      </w:pPr>
      <w:r>
        <w:rPr>
          <w:rFonts w:ascii="Times New Roman" w:hAnsi="Times New Roman" w:cs="Times New Roman"/>
          <w:sz w:val="26"/>
          <w:szCs w:val="26"/>
        </w:rPr>
        <w:t>Poterba, J.M. (2004), “Impact of population aging on financial markets in developed countries”, Economic Review, Vol. 89 No. 4, pp. 43-53.</w:t>
      </w:r>
    </w:p>
    <w:p>
      <w:pPr>
        <w:rPr>
          <w:rFonts w:ascii="Times New Roman" w:hAnsi="Times New Roman" w:cs="Times New Roman"/>
          <w:sz w:val="26"/>
          <w:szCs w:val="26"/>
        </w:rPr>
      </w:pPr>
      <w:proofErr w:type="spellStart"/>
      <w:r>
        <w:rPr>
          <w:rFonts w:ascii="Times New Roman" w:hAnsi="Times New Roman" w:cs="Times New Roman"/>
          <w:sz w:val="26"/>
          <w:szCs w:val="26"/>
        </w:rPr>
        <w:t>Quayes</w:t>
      </w:r>
      <w:proofErr w:type="spellEnd"/>
      <w:r>
        <w:rPr>
          <w:rFonts w:ascii="Times New Roman" w:hAnsi="Times New Roman" w:cs="Times New Roman"/>
          <w:sz w:val="26"/>
          <w:szCs w:val="26"/>
        </w:rPr>
        <w:t>, S. and Jamal, A.M. (2016), “Impact of demographic change on stock prices”, The Quarterly Review of Economics and Finance, Vol. 60, pp. 172-179.</w:t>
      </w:r>
    </w:p>
    <w:p>
      <w:pPr>
        <w:rPr>
          <w:rFonts w:ascii="Times New Roman" w:hAnsi="Times New Roman" w:cs="Times New Roman"/>
          <w:sz w:val="26"/>
          <w:szCs w:val="26"/>
        </w:rPr>
      </w:pPr>
      <w:proofErr w:type="spellStart"/>
      <w:r>
        <w:rPr>
          <w:rFonts w:ascii="Times New Roman" w:hAnsi="Times New Roman" w:cs="Times New Roman"/>
          <w:sz w:val="26"/>
          <w:szCs w:val="26"/>
        </w:rPr>
        <w:t>Sialm</w:t>
      </w:r>
      <w:proofErr w:type="spellEnd"/>
      <w:r>
        <w:rPr>
          <w:rFonts w:ascii="Times New Roman" w:hAnsi="Times New Roman" w:cs="Times New Roman"/>
          <w:sz w:val="26"/>
          <w:szCs w:val="26"/>
        </w:rPr>
        <w:t xml:space="preserve">, C., Starks, L.T. and Zhang, H. (2015), “Defined contribution pension plans: sticky or discerning money?”, The Journal of Finance, Vol. 70 No. 2, pp. 805-838,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10.1111/jofi.12232.</w:t>
      </w:r>
    </w:p>
    <w:p>
      <w:pPr>
        <w:rPr>
          <w:rFonts w:ascii="Times New Roman" w:hAnsi="Times New Roman" w:cs="Times New Roman"/>
          <w:sz w:val="26"/>
          <w:szCs w:val="26"/>
        </w:rPr>
      </w:pPr>
      <w:proofErr w:type="spellStart"/>
      <w:r>
        <w:rPr>
          <w:rFonts w:ascii="Times New Roman" w:hAnsi="Times New Roman" w:cs="Times New Roman"/>
          <w:sz w:val="26"/>
          <w:szCs w:val="26"/>
        </w:rPr>
        <w:t>Sundén</w:t>
      </w:r>
      <w:proofErr w:type="spellEnd"/>
      <w:r>
        <w:rPr>
          <w:rFonts w:ascii="Times New Roman" w:hAnsi="Times New Roman" w:cs="Times New Roman"/>
          <w:sz w:val="26"/>
          <w:szCs w:val="26"/>
        </w:rPr>
        <w:t xml:space="preserve">, A. (2006), “The Swedish experience with pension reform”, Oxford Review of Economic Policy, Vol. 22 No. 1, pp. 133-148,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10.1093/</w:t>
      </w:r>
      <w:proofErr w:type="spellStart"/>
      <w:r>
        <w:rPr>
          <w:rFonts w:ascii="Times New Roman" w:hAnsi="Times New Roman" w:cs="Times New Roman"/>
          <w:sz w:val="26"/>
          <w:szCs w:val="26"/>
        </w:rPr>
        <w:t>oxrep</w:t>
      </w:r>
      <w:proofErr w:type="spellEnd"/>
      <w:r>
        <w:rPr>
          <w:rFonts w:ascii="Times New Roman" w:hAnsi="Times New Roman" w:cs="Times New Roman"/>
          <w:sz w:val="26"/>
          <w:szCs w:val="26"/>
        </w:rPr>
        <w:t>/grj009.</w:t>
      </w: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lastRenderedPageBreak/>
        <w:t>Wang, H. and Chen, Y. (2024), “The impact of population aging on capital structure decisions and capital market efficiency: evidence from China”, International Review of Financial Analysis, Vol. 95, 103408.</w:t>
      </w:r>
    </w:p>
    <w:p>
      <w:pPr>
        <w:rPr>
          <w:rFonts w:ascii="Times New Roman" w:hAnsi="Times New Roman" w:cs="Times New Roman"/>
          <w:sz w:val="26"/>
          <w:szCs w:val="26"/>
        </w:rPr>
      </w:pPr>
      <w:r>
        <w:rPr>
          <w:rFonts w:ascii="Times New Roman" w:hAnsi="Times New Roman" w:cs="Times New Roman"/>
          <w:sz w:val="26"/>
          <w:szCs w:val="26"/>
        </w:rPr>
        <w:t>World Bank World Development Indicators (2022), “Population ages 65 and above, total”, available at: https://data.worldbank.org/indicator/SP.POP.65UP.TO (accessed 19 October 2022).</w:t>
      </w:r>
    </w:p>
    <w:p>
      <w:pPr>
        <w:rPr>
          <w:rFonts w:ascii="Times New Roman" w:hAnsi="Times New Roman" w:cs="Times New Roman"/>
          <w:sz w:val="26"/>
          <w:szCs w:val="26"/>
        </w:rPr>
      </w:pPr>
      <w:r>
        <w:rPr>
          <w:rFonts w:ascii="Times New Roman" w:hAnsi="Times New Roman" w:cs="Times New Roman"/>
          <w:sz w:val="26"/>
          <w:szCs w:val="26"/>
        </w:rPr>
        <w:t xml:space="preserve">Yuan, H., Puah, C.H. and Yau, J.T.H. (2022), “How does population aging impact household financial asset investment?”, Sustainability, Vol. 14 No. 22, 15021,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10.3390/su142215021.</w:t>
      </w:r>
    </w:p>
    <w:p>
      <w:pPr>
        <w:rPr>
          <w:rFonts w:ascii="Times New Roman" w:hAnsi="Times New Roman" w:cs="Times New Roman"/>
          <w:b/>
          <w:bCs/>
          <w:sz w:val="26"/>
          <w:szCs w:val="26"/>
        </w:rPr>
      </w:pPr>
      <w:r>
        <w:rPr>
          <w:rFonts w:ascii="Times New Roman" w:hAnsi="Times New Roman" w:cs="Times New Roman"/>
          <w:b/>
          <w:bCs/>
          <w:sz w:val="26"/>
          <w:szCs w:val="26"/>
        </w:rPr>
        <w:t>Further reading</w:t>
      </w:r>
    </w:p>
    <w:p>
      <w:pPr>
        <w:rPr>
          <w:rFonts w:ascii="Times New Roman" w:hAnsi="Times New Roman" w:cs="Times New Roman"/>
          <w:sz w:val="26"/>
          <w:szCs w:val="26"/>
        </w:rPr>
      </w:pPr>
      <w:r>
        <w:rPr>
          <w:rFonts w:ascii="Times New Roman" w:hAnsi="Times New Roman" w:cs="Times New Roman"/>
          <w:sz w:val="26"/>
          <w:szCs w:val="26"/>
        </w:rPr>
        <w:t>Salmeron, A.M. (2018), “The demographic cycle of savings and interest rates”, available at: https://www.caixabankresearch.com/en/economics-markets/activity-growth/demographic-cycle-savings-and-interest-rates (accessed 20 October 2022).</w:t>
      </w:r>
    </w:p>
    <w:sectPr>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cb2ddb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CD52-9253-4E44-98AA-35D02C39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paragraph" w:customStyle="1" w:styleId="reference">
    <w:name w:val="reference"/>
    <w:basedOn w:val="Normal"/>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erencemixed-citation">
    <w:name w:val="reference__mixed-citation"/>
    <w:basedOn w:val="DefaultParagraphFont"/>
  </w:style>
  <w:style w:type="character" w:customStyle="1" w:styleId="referenceperson-group">
    <w:name w:val="reference__person-group"/>
    <w:basedOn w:val="DefaultParagraphFont"/>
  </w:style>
  <w:style w:type="character" w:customStyle="1" w:styleId="referencestring-name">
    <w:name w:val="reference__string-name"/>
    <w:basedOn w:val="DefaultParagraphFont"/>
  </w:style>
  <w:style w:type="character" w:customStyle="1" w:styleId="referencesurname">
    <w:name w:val="reference__surname"/>
    <w:basedOn w:val="DefaultParagraphFont"/>
  </w:style>
  <w:style w:type="character" w:customStyle="1" w:styleId="referencegiven-names">
    <w:name w:val="reference__given-names"/>
    <w:basedOn w:val="DefaultParagraphFont"/>
  </w:style>
  <w:style w:type="character" w:customStyle="1" w:styleId="referenceyear">
    <w:name w:val="reference__year"/>
    <w:basedOn w:val="DefaultParagraphFont"/>
  </w:style>
  <w:style w:type="character" w:customStyle="1" w:styleId="referencearticle-title">
    <w:name w:val="reference__article-title"/>
    <w:basedOn w:val="DefaultParagraphFont"/>
  </w:style>
  <w:style w:type="character" w:customStyle="1" w:styleId="referencesource">
    <w:name w:val="reference__source"/>
    <w:basedOn w:val="DefaultParagraphFont"/>
  </w:style>
  <w:style w:type="character" w:customStyle="1" w:styleId="referencevolume">
    <w:name w:val="reference__volume"/>
    <w:basedOn w:val="DefaultParagraphFont"/>
  </w:style>
  <w:style w:type="character" w:customStyle="1" w:styleId="referenceissue">
    <w:name w:val="reference__issue"/>
    <w:basedOn w:val="DefaultParagraphFont"/>
  </w:style>
  <w:style w:type="character" w:customStyle="1" w:styleId="referencefpage">
    <w:name w:val="reference__fpage"/>
    <w:basedOn w:val="DefaultParagraphFont"/>
  </w:style>
  <w:style w:type="character" w:customStyle="1" w:styleId="referencelpage">
    <w:name w:val="reference__lpage"/>
    <w:basedOn w:val="DefaultParagraphFont"/>
  </w:style>
  <w:style w:type="character" w:customStyle="1" w:styleId="referencepub-id">
    <w:name w:val="reference__pub-id"/>
    <w:basedOn w:val="DefaultParagraphFont"/>
  </w:style>
  <w:style w:type="character" w:customStyle="1" w:styleId="referenceelocation-id">
    <w:name w:val="reference__elocation-id"/>
    <w:basedOn w:val="DefaultParagraphFont"/>
  </w:style>
  <w:style w:type="character" w:customStyle="1" w:styleId="referenceconf-name">
    <w:name w:val="reference__conf-name"/>
    <w:basedOn w:val="DefaultParagraphFont"/>
  </w:style>
  <w:style w:type="character" w:customStyle="1" w:styleId="referencepublisher-name">
    <w:name w:val="reference__publisher-name"/>
    <w:basedOn w:val="DefaultParagraphFont"/>
  </w:style>
  <w:style w:type="character" w:customStyle="1" w:styleId="referencecomment">
    <w:name w:val="reference__comment"/>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
    <w:name w:val="ref"/>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ferencedate-in-citation">
    <w:name w:val="reference__date-in-cit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AdvOT8cb2ddbd" w:hAnsi="AdvOT8cb2ddbd" w:hint="default"/>
      <w:b w:val="0"/>
      <w:bCs w:val="0"/>
      <w:i w:val="0"/>
      <w:iCs w:val="0"/>
      <w:color w:val="000000"/>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5465">
      <w:bodyDiv w:val="1"/>
      <w:marLeft w:val="0"/>
      <w:marRight w:val="0"/>
      <w:marTop w:val="0"/>
      <w:marBottom w:val="0"/>
      <w:divBdr>
        <w:top w:val="none" w:sz="0" w:space="0" w:color="auto"/>
        <w:left w:val="none" w:sz="0" w:space="0" w:color="auto"/>
        <w:bottom w:val="none" w:sz="0" w:space="0" w:color="auto"/>
        <w:right w:val="none" w:sz="0" w:space="0" w:color="auto"/>
      </w:divBdr>
      <w:divsChild>
        <w:div w:id="1076173823">
          <w:marLeft w:val="-225"/>
          <w:marRight w:val="-225"/>
          <w:marTop w:val="0"/>
          <w:marBottom w:val="0"/>
          <w:divBdr>
            <w:top w:val="none" w:sz="0" w:space="0" w:color="auto"/>
            <w:left w:val="none" w:sz="0" w:space="0" w:color="auto"/>
            <w:bottom w:val="none" w:sz="0" w:space="0" w:color="auto"/>
            <w:right w:val="none" w:sz="0" w:space="0" w:color="auto"/>
          </w:divBdr>
          <w:divsChild>
            <w:div w:id="640767317">
              <w:marLeft w:val="0"/>
              <w:marRight w:val="0"/>
              <w:marTop w:val="0"/>
              <w:marBottom w:val="0"/>
              <w:divBdr>
                <w:top w:val="none" w:sz="0" w:space="0" w:color="auto"/>
                <w:left w:val="none" w:sz="0" w:space="0" w:color="auto"/>
                <w:bottom w:val="none" w:sz="0" w:space="0" w:color="auto"/>
                <w:right w:val="none" w:sz="0" w:space="0" w:color="auto"/>
              </w:divBdr>
              <w:divsChild>
                <w:div w:id="18661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00822">
      <w:bodyDiv w:val="1"/>
      <w:marLeft w:val="0"/>
      <w:marRight w:val="0"/>
      <w:marTop w:val="0"/>
      <w:marBottom w:val="0"/>
      <w:divBdr>
        <w:top w:val="none" w:sz="0" w:space="0" w:color="auto"/>
        <w:left w:val="none" w:sz="0" w:space="0" w:color="auto"/>
        <w:bottom w:val="none" w:sz="0" w:space="0" w:color="auto"/>
        <w:right w:val="none" w:sz="0" w:space="0" w:color="auto"/>
      </w:divBdr>
    </w:div>
    <w:div w:id="1445540998">
      <w:bodyDiv w:val="1"/>
      <w:marLeft w:val="0"/>
      <w:marRight w:val="0"/>
      <w:marTop w:val="0"/>
      <w:marBottom w:val="0"/>
      <w:divBdr>
        <w:top w:val="none" w:sz="0" w:space="0" w:color="auto"/>
        <w:left w:val="none" w:sz="0" w:space="0" w:color="auto"/>
        <w:bottom w:val="none" w:sz="0" w:space="0" w:color="auto"/>
        <w:right w:val="none" w:sz="0" w:space="0" w:color="auto"/>
      </w:divBdr>
      <w:divsChild>
        <w:div w:id="849757491">
          <w:marLeft w:val="-225"/>
          <w:marRight w:val="-225"/>
          <w:marTop w:val="0"/>
          <w:marBottom w:val="0"/>
          <w:divBdr>
            <w:top w:val="none" w:sz="0" w:space="0" w:color="auto"/>
            <w:left w:val="none" w:sz="0" w:space="0" w:color="auto"/>
            <w:bottom w:val="none" w:sz="0" w:space="0" w:color="auto"/>
            <w:right w:val="none" w:sz="0" w:space="0" w:color="auto"/>
          </w:divBdr>
          <w:divsChild>
            <w:div w:id="1567642548">
              <w:marLeft w:val="0"/>
              <w:marRight w:val="0"/>
              <w:marTop w:val="0"/>
              <w:marBottom w:val="0"/>
              <w:divBdr>
                <w:top w:val="none" w:sz="0" w:space="0" w:color="auto"/>
                <w:left w:val="none" w:sz="0" w:space="0" w:color="auto"/>
                <w:bottom w:val="none" w:sz="0" w:space="0" w:color="auto"/>
                <w:right w:val="none" w:sz="0" w:space="0" w:color="auto"/>
              </w:divBdr>
              <w:divsChild>
                <w:div w:id="2132629026">
                  <w:marLeft w:val="0"/>
                  <w:marRight w:val="0"/>
                  <w:marTop w:val="0"/>
                  <w:marBottom w:val="0"/>
                  <w:divBdr>
                    <w:top w:val="none" w:sz="0" w:space="0" w:color="auto"/>
                    <w:left w:val="none" w:sz="0" w:space="0" w:color="auto"/>
                    <w:bottom w:val="none" w:sz="0" w:space="0" w:color="auto"/>
                    <w:right w:val="none" w:sz="0" w:space="0" w:color="auto"/>
                  </w:divBdr>
                </w:div>
                <w:div w:id="1435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2024-08-26T09:47:00Z</cp:lastPrinted>
  <dcterms:created xsi:type="dcterms:W3CDTF">2025-02-11T08:05:00Z</dcterms:created>
  <dcterms:modified xsi:type="dcterms:W3CDTF">2025-02-12T06:23:00Z</dcterms:modified>
</cp:coreProperties>
</file>